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98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8"/>
        <w:gridCol w:w="2162"/>
        <w:gridCol w:w="1873"/>
        <w:gridCol w:w="835"/>
        <w:gridCol w:w="1038"/>
        <w:gridCol w:w="1302"/>
        <w:gridCol w:w="955"/>
        <w:gridCol w:w="1873"/>
        <w:gridCol w:w="1873"/>
        <w:tblGridChange w:id="0">
          <w:tblGrid>
            <w:gridCol w:w="2078"/>
            <w:gridCol w:w="2162"/>
            <w:gridCol w:w="1873"/>
            <w:gridCol w:w="835"/>
            <w:gridCol w:w="1038"/>
            <w:gridCol w:w="1302"/>
            <w:gridCol w:w="955"/>
            <w:gridCol w:w="1873"/>
            <w:gridCol w:w="1873"/>
          </w:tblGrid>
        </w:tblGridChange>
      </w:tblGrid>
      <w:tr>
        <w:trPr>
          <w:trHeight w:val="660" w:hRule="atLeast"/>
        </w:trPr>
        <w:tc>
          <w:tcPr>
            <w:gridSpan w:val="9"/>
            <w:tcBorders>
              <w:bottom w:color="000000" w:space="0" w:sz="4" w:val="single"/>
            </w:tcBorders>
            <w:shd w:fill="0c0c0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Adamsville Primary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vertAlign w:val="baseline"/>
                <w:rtl w:val="0"/>
              </w:rPr>
              <w:t xml:space="preserve">Data Inventory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Birgitta Johnson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Data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Content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Dates of Collection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Students Assessed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Accessibility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Current Data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vertAlign w:val="baseline"/>
                <w:rtl w:val="0"/>
              </w:rPr>
              <w:t xml:space="preserve">More Effective ,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&amp;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Winter,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is not tested first until winter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Determines grade level proficiency, benchmarking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Sees trends inform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&amp;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Winter,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 instruction, grouping of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St, Science,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Winter,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benchmarks students at time of year, grade level proficiency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informs instruction for units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 Survey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Climate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anonymous survey to hopefully get honest response regarding school climate.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 future parent programs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Survey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Climate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anonymous survey to hopefully get honest response regarding school climate.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 neccesities to help teachers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Survey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Climate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anonymous survey to hopefully get honest response regarding school climate.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 needs of students for rest of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Samples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couple of times a 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 student areas of improvement in writing process, benchmark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helps to create individual student goals and levels of improvement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DIBELS/Daze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Spring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 assessment throughout year</w:t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benchmark, determine eligibility in EIP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 student grouping for peer tutoring/coaching in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can be made available to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determines student strength and weaknesses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tracking for trends of students growth over school year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iReady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&amp;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Winter,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instructional coaches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benchmark, program assist students from level they test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tool for parents to work with students at home with this program. advises on books and online aides.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&amp;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Winter,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Teacher, admin, 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benchmark, determine student grade level equivilance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setting student goals for them to work on their reading and math skills to grow.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Accelerated 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Throughout school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Teachers, 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benchmark, determines grade level equivilance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encourage students to read up to and beyond grade level.  Student can set their reading goals and strive to achieve it through reading.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Other Student-Level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What other student-level information does your school collect?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Race/ethnicity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Socioeconomic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Discipline Referrals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TAG/Gifted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 Wish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Are there any other types of assessment data you would like to see your school collect and use to improve instruction?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more fluency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science data in relation to 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